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</w:t>
      </w: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A7H004, A7H005,</w:t>
      </w:r>
      <w:r w:rsidR="0038738B"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A7H006,</w:t>
      </w: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7HX “Дані про </w:t>
      </w:r>
      <w:r w:rsidR="00D408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потенційно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проблемні </w:t>
      </w:r>
      <w:r w:rsidR="00D408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непрацюючі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активи”.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</w:t>
      </w:r>
      <w:r w:rsidR="00307A99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7HX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97 від 18.07.2019 “Про затвердження Положення про організацію процесу управління проблемними активами в банках України”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з урахуванням шаблонів таблиць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FIN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REP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COREP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проблемних активів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контрагентів до пов'язаних з банком осіб визначається згідно зі статтею 52 Закону України "Про банки і банківську діяльність".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пов'язана з банком особа, яка має непогашену заборгованість, перестає бути пов'язаною з банком особою, то у файлі 7HX інформація щодо її заборгованості надається як за контрагентом, і навпаки, якщо контрагент стає пов'язаною з банком особою, то інформація надається як за пов'язаною з банком особою.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7HX банки можуть також використовувати публічну інформацію у формі відкритих даних відповідно до вимог законодавства України.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у файлі 7HX інформації за кредитними операціями (факторинговими, гарантійними, з урахування векселів), за якими кошти надаються одній особі, а погашення заборгованості здійснюється іншою, контрагентом визнається та особа, яка має здійснювати погашення кредитної заборгованості.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операціями з цінними паперами одного виду, випущеними на однакових умовах, відображається у файлі 7HX за контрагентом/пов'язаною з банком особою, що є емітентом/векселедавцем/визначеною банком зобов'язаною за векселем особою.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left="432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 контрагентом/пов'язаною з банком особою, який/яка одночасно є фізичною особою і суб'єктом підприємницької діяльності укладено банком: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договір тільки як з суб`єктом підприємницької діяльності, то інформація щодо такої особи відображається як за суб`єктом підприємницької діяльності;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договір тільки як з фізичною особою, то інформація щодо такої особи відображається як за фізичною особою;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договори як з фізичною особою, так і з суб`єктом підприємницької діяльності, то інформація щодо такої особи відображається як за фізичною особою.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необхідно врахувати усі укладені договори з фізичною особою, яка одночасно є суб`єктом підприємницької діяльності, відповідно до яких у банку виникають активи та/або зобов`язання.</w:t>
      </w:r>
    </w:p>
    <w:p w:rsidR="000A500D" w:rsidRPr="009F065A" w:rsidRDefault="000A5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показників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5058F"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="00850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валют або банківських металів (довідник R030).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належності контрагента/пов’язаної з банком особи до групи юридичних осіб під спільним контролем або до групи пов’язаних контрагентів (довідник F074).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згідно з Положенням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до контрагента/пов’язаної з банком особи не застосовуються ознаки щодо належності контрагента/пов’язаної з банком особи до групи юридичних осіб під спільним контролем/групи пов’язаних контрагентів, за параметром F074 зазначається "#". 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не здійснюється оцінка кредитного ризику відповідно до Положення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351, за параметром F074 зазначається "#".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виду активної банківської операції (довідник F037).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F083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значення коефіцієнта кредитної конверсії, рівня покриття боргу заставою, складової балансової вартості відповідно до Положення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351(довідник F083). 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F131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активу (довідник F131).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придбаних або створених знецінених фінансових активів згідно з МСФЗ (довідник F132).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F133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врахування вартості застави/забезпечення за активом (довідник F133).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060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поле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061).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секторів економіки (узагальнені)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072).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жовтня 2010 року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457 (зі змінами)] (довідник K110).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 зазначається "00000". 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- резидента юридичної особи або фізичної особи -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розміру суб'єкта господарювання 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140). </w:t>
      </w: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 зазначається "9".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видів забезпечення активу (узагальнені) (довідник S032).</w:t>
      </w: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активів, що мають одночасно більше одного виду забезпечення, зазначається інформація щодо того виду забезпечення вартість якого є найбільшою.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</w:t>
      </w:r>
      <w:r w:rsidR="008720AE" w:rsidRPr="009F06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строку, що минув з моменту віднесення акти</w:t>
      </w:r>
      <w:r w:rsidR="008720AE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ву до непрацюючих (довідник S187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строку прострочення погашення боргу (довідник S190).</w:t>
      </w:r>
    </w:p>
    <w:p w:rsidR="00D408EC" w:rsidRDefault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Pr="009F065A" w:rsidRDefault="00D408EC" w:rsidP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погашення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S24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 кредитів за цільовим спрямуванням (довідник S260).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FST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зміни стадії знецінення, визнаної за міжнародним стандартом фінансової звітності 9 "Фінансові інструменти" (довідник FST).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FBM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моделі обліку (довідник FBM).</w:t>
      </w:r>
    </w:p>
    <w:p w:rsidR="00D408EC" w:rsidRDefault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Pr="009F065A" w:rsidRDefault="00D408EC" w:rsidP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LTV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Pr="00D40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рівня співвідношення суми кредиту та вартості застави (LTV)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D408EC">
        <w:rPr>
          <w:rFonts w:ascii="Times New Roman" w:eastAsia="Times New Roman" w:hAnsi="Times New Roman" w:cs="Times New Roman"/>
          <w:sz w:val="28"/>
          <w:szCs w:val="28"/>
          <w:lang w:eastAsia="uk-UA"/>
        </w:rPr>
        <w:t>LTV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A500D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Default="00D40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Pr="009F065A" w:rsidRDefault="00D40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боргу </w:t>
      </w:r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кредитами, наданими юридичним та фізичним особам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 w:rsidP="00833BFC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F083=11 – зазначається основна сума боргу за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1211А, 1212А, </w:t>
      </w:r>
      <w:r w:rsidR="00833BFC" w:rsidRPr="009F065A">
        <w:rPr>
          <w:rFonts w:ascii="Times New Roman" w:hAnsi="Times New Roman" w:cs="Times New Roman"/>
          <w:sz w:val="28"/>
          <w:szCs w:val="28"/>
        </w:rPr>
        <w:t xml:space="preserve">1513А,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1520А, 1522А, 1524А,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1532А, 1533А, 1542А, 1543А,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2010А, 2020А, 2030А, 2040А, 2041А, 2042А, 2043А, 2044А, 2045А, 2060А, 2063А, 2071А, 2083А, 2103А, 2113А, 2123А, 2133А, 2140А, 2141А, 2142А, 2143А, 2203А, 2211А, 2220А, 2233А, 2240А, 2241А, 2242А, 2243А,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2244А, 2260А,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2301А, 2303А, 2310А, 2311А, 2320А, 2321А, 2330А, 2331А, 2340А, 2341А, 2351А, 2353А, 2360А, 2361А, 2362А, 2363А, 2370А, 2371А, 2372А, 2373А, 2380А, 2381А, 2382А, 2383А, 2390А, 2391А, 2392А, 2393А, 2394А, 2395А, 2401А, 2403А, 2410А, 2411А, 2420А, 2421А, 2431А, 2433А,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2440А, 2441А,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2450А, 2451А, 2452А, 2453А,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2454А, </w:t>
      </w:r>
      <w:r w:rsidRPr="009F065A">
        <w:rPr>
          <w:rFonts w:ascii="Times New Roman" w:hAnsi="Times New Roman" w:cs="Times New Roman"/>
          <w:sz w:val="28"/>
          <w:szCs w:val="28"/>
        </w:rPr>
        <w:t>2600А, 2620А, 2621</w:t>
      </w:r>
      <w:r w:rsidR="00292DF9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, 2650А.</w:t>
      </w:r>
    </w:p>
    <w:p w:rsidR="000A500D" w:rsidRPr="009F065A" w:rsidRDefault="00CB3A63" w:rsidP="00F1116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F083=12 – зазначається сума нарахованих доходів за основною сумою боргу за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1218А, </w:t>
      </w:r>
      <w:r w:rsidR="00833BFC" w:rsidRPr="009F065A">
        <w:rPr>
          <w:rFonts w:ascii="Times New Roman" w:hAnsi="Times New Roman" w:cs="Times New Roman"/>
          <w:sz w:val="28"/>
          <w:szCs w:val="28"/>
        </w:rPr>
        <w:t>1518АП(R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833BFC" w:rsidRPr="009F065A">
        <w:rPr>
          <w:rFonts w:ascii="Times New Roman" w:hAnsi="Times New Roman" w:cs="Times New Roman"/>
          <w:sz w:val="28"/>
          <w:szCs w:val="28"/>
        </w:rPr>
        <w:t>11</w:t>
      </w:r>
      <w:r w:rsidR="0088763B" w:rsidRPr="009F065A">
        <w:rPr>
          <w:rFonts w:ascii="Times New Roman" w:hAnsi="Times New Roman" w:cs="Times New Roman"/>
          <w:sz w:val="28"/>
          <w:szCs w:val="28"/>
        </w:rPr>
        <w:t>=2</w:t>
      </w:r>
      <w:r w:rsidR="00833BFC" w:rsidRPr="009F065A">
        <w:rPr>
          <w:rFonts w:ascii="Times New Roman" w:hAnsi="Times New Roman" w:cs="Times New Roman"/>
          <w:sz w:val="28"/>
          <w:szCs w:val="28"/>
        </w:rPr>
        <w:t xml:space="preserve">), </w:t>
      </w:r>
      <w:r w:rsidRPr="009F065A">
        <w:rPr>
          <w:rFonts w:ascii="Times New Roman" w:hAnsi="Times New Roman" w:cs="Times New Roman"/>
          <w:sz w:val="28"/>
          <w:szCs w:val="28"/>
        </w:rPr>
        <w:t>1528А</w:t>
      </w:r>
      <w:r w:rsidR="00F11168" w:rsidRPr="009F065A">
        <w:rPr>
          <w:rFonts w:ascii="Times New Roman" w:hAnsi="Times New Roman" w:cs="Times New Roman"/>
          <w:sz w:val="28"/>
          <w:szCs w:val="28"/>
        </w:rPr>
        <w:t>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>11=1,3,4,5,6)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1538А, 1548А, 2018А, 2028А, 2038А, 2048А, 2068А, 2078А, 2088А, 2108А, 2118А, 2128А, 2138А, 2148А, 2208А, 2218А, 2228А, 2238А, 2248А,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2268А,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2308А, 2318А, 2328А, 2338А, 2348А, 2358А, 2368А, 2378А, 2388А, 2398А, 2408А, 2418А, 2428А, 2438А,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2448А,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2458А, 2607А, 2627А, 2657А. 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F083=19 – зазначається сума дооцінки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1535А, 1545А, 2307А, 2317А, 2327А, 2337А, 2347А, 2357А, 2367А, 2377А, 2387А, 2397А, 2407А, 2417А, 2427А, 2437А,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2447А, </w:t>
      </w:r>
      <w:r w:rsidRPr="009F065A">
        <w:rPr>
          <w:rFonts w:ascii="Times New Roman" w:hAnsi="Times New Roman" w:cs="Times New Roman"/>
          <w:sz w:val="28"/>
          <w:szCs w:val="28"/>
        </w:rPr>
        <w:t>2457А.</w:t>
      </w:r>
    </w:p>
    <w:p w:rsidR="000A500D" w:rsidRPr="009F065A" w:rsidRDefault="00CB3A63" w:rsidP="00833BFC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F083=20 – зазначається вартість отриманої застави/забезпечення</w:t>
      </w:r>
      <w:r w:rsidR="00123CC4">
        <w:rPr>
          <w:rFonts w:ascii="Times New Roman" w:hAnsi="Times New Roman" w:cs="Times New Roman"/>
          <w:sz w:val="28"/>
          <w:szCs w:val="28"/>
        </w:rPr>
        <w:t xml:space="preserve">, </w:t>
      </w:r>
      <w:r w:rsidR="00123CC4" w:rsidRPr="00123CC4">
        <w:rPr>
          <w:rFonts w:ascii="Times New Roman" w:hAnsi="Times New Roman" w:cs="Times New Roman"/>
          <w:sz w:val="28"/>
          <w:szCs w:val="28"/>
        </w:rPr>
        <w:t>що обліковується за позабалансовими рахунками згідно з вимогами Інструкції № 14,</w:t>
      </w:r>
      <w:r w:rsidR="00EB72C5">
        <w:rPr>
          <w:rFonts w:ascii="Times New Roman" w:hAnsi="Times New Roman" w:cs="Times New Roman"/>
          <w:sz w:val="28"/>
          <w:szCs w:val="28"/>
        </w:rPr>
        <w:t xml:space="preserve"> затвердженої постановою Правління Національного банку України від 21.02.2018 (далі – Інструкція № 14),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</w:t>
      </w:r>
      <w:r w:rsidRPr="00123CC4">
        <w:rPr>
          <w:rFonts w:ascii="Times New Roman" w:hAnsi="Times New Roman" w:cs="Times New Roman"/>
          <w:sz w:val="28"/>
          <w:szCs w:val="28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F083=30 – зазначається розмір кредитного ризику (CR) </w:t>
      </w:r>
      <w:r w:rsidR="00123CC4">
        <w:rPr>
          <w:rFonts w:ascii="Times New Roman" w:hAnsi="Times New Roman" w:cs="Times New Roman"/>
          <w:sz w:val="28"/>
          <w:szCs w:val="28"/>
        </w:rPr>
        <w:t xml:space="preserve">на звітну дату </w:t>
      </w:r>
      <w:r w:rsidRPr="009F065A">
        <w:rPr>
          <w:rFonts w:ascii="Times New Roman" w:hAnsi="Times New Roman" w:cs="Times New Roman"/>
          <w:sz w:val="28"/>
          <w:szCs w:val="28"/>
        </w:rPr>
        <w:t>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F083=40 – зазначається розмір резерву за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="00123CC4">
        <w:rPr>
          <w:rFonts w:ascii="Times New Roman" w:hAnsi="Times New Roman" w:cs="Times New Roman"/>
          <w:sz w:val="28"/>
          <w:szCs w:val="28"/>
        </w:rPr>
        <w:t xml:space="preserve">, </w:t>
      </w:r>
      <w:r w:rsidRPr="009F065A">
        <w:rPr>
          <w:rFonts w:ascii="Times New Roman" w:hAnsi="Times New Roman" w:cs="Times New Roman"/>
          <w:sz w:val="28"/>
          <w:szCs w:val="28"/>
        </w:rPr>
        <w:t xml:space="preserve">згідно з МСФЗ, що обліковується за такими балансовими рахунками: </w:t>
      </w:r>
      <w:r w:rsidR="00F11168" w:rsidRPr="009F065A">
        <w:rPr>
          <w:rFonts w:ascii="Times New Roman" w:hAnsi="Times New Roman" w:cs="Times New Roman"/>
          <w:sz w:val="28"/>
          <w:szCs w:val="28"/>
        </w:rPr>
        <w:t>1519КА(R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 xml:space="preserve">11=2), </w:t>
      </w:r>
      <w:r w:rsidRPr="009F065A">
        <w:rPr>
          <w:rFonts w:ascii="Times New Roman" w:hAnsi="Times New Roman" w:cs="Times New Roman"/>
          <w:sz w:val="28"/>
          <w:szCs w:val="28"/>
        </w:rPr>
        <w:t>1529КА</w:t>
      </w:r>
      <w:r w:rsidR="00F11168" w:rsidRPr="009F065A">
        <w:rPr>
          <w:rFonts w:ascii="Times New Roman" w:hAnsi="Times New Roman" w:cs="Times New Roman"/>
          <w:sz w:val="28"/>
          <w:szCs w:val="28"/>
        </w:rPr>
        <w:t>(R</w:t>
      </w:r>
      <w:r w:rsidR="0088763B" w:rsidRPr="009F065A">
        <w:rPr>
          <w:rFonts w:ascii="Times New Roman" w:hAnsi="Times New Roman" w:cs="Times New Roman"/>
          <w:sz w:val="28"/>
          <w:szCs w:val="28"/>
        </w:rPr>
        <w:t>011=1</w:t>
      </w:r>
      <w:r w:rsidR="00F11168" w:rsidRPr="009F065A">
        <w:rPr>
          <w:rFonts w:ascii="Times New Roman" w:hAnsi="Times New Roman" w:cs="Times New Roman"/>
          <w:sz w:val="28"/>
          <w:szCs w:val="28"/>
        </w:rPr>
        <w:t>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1549КА, 2019КА, 2029КА, 2039КА, 2049АП, 2069КА, 2079КА, 2089КА, 2109КА, 2119КА, 2129КА, 2139КА, 2149АП, 2209КА, 2219КА, 2229КА, 2239КА, 2249АП,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2269КА,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2309АП, 2319АП, 2329АП, 2339АП, 2349АП, 2359АП, 2369АП, 2379АП, 2409АП, 2419АП, 2429АП, 2439АП,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2449АП, </w:t>
      </w:r>
      <w:r w:rsidRPr="009F065A">
        <w:rPr>
          <w:rFonts w:ascii="Times New Roman" w:hAnsi="Times New Roman" w:cs="Times New Roman"/>
          <w:sz w:val="28"/>
          <w:szCs w:val="28"/>
        </w:rPr>
        <w:t>2609КА, 2629КА, 2659КА.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lastRenderedPageBreak/>
        <w:t>Показник зі значенням параметра F083=41 – зазначається розмір очікуваних кредитних збитків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які відображаються на рахунках дисконтів в аналітичному обліку за складовою R013=2,3,4 параметра R110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1216П, </w:t>
      </w:r>
      <w:r w:rsidR="00A314D5" w:rsidRPr="009F065A">
        <w:rPr>
          <w:rFonts w:ascii="Times New Roman" w:hAnsi="Times New Roman" w:cs="Times New Roman"/>
          <w:sz w:val="28"/>
          <w:szCs w:val="28"/>
        </w:rPr>
        <w:t>1516</w:t>
      </w:r>
      <w:r w:rsidR="00F11168" w:rsidRPr="009F065A">
        <w:rPr>
          <w:rFonts w:ascii="Times New Roman" w:hAnsi="Times New Roman" w:cs="Times New Roman"/>
          <w:sz w:val="28"/>
          <w:szCs w:val="28"/>
        </w:rPr>
        <w:t>П(R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>11</w:t>
      </w:r>
      <w:r w:rsidR="0088763B" w:rsidRPr="009F065A">
        <w:rPr>
          <w:rFonts w:ascii="Times New Roman" w:hAnsi="Times New Roman" w:cs="Times New Roman"/>
          <w:sz w:val="28"/>
          <w:szCs w:val="28"/>
        </w:rPr>
        <w:t>=2</w:t>
      </w:r>
      <w:r w:rsidR="00F11168" w:rsidRPr="009F065A">
        <w:rPr>
          <w:rFonts w:ascii="Times New Roman" w:hAnsi="Times New Roman" w:cs="Times New Roman"/>
          <w:sz w:val="28"/>
          <w:szCs w:val="28"/>
        </w:rPr>
        <w:t xml:space="preserve">), </w:t>
      </w:r>
      <w:r w:rsidRPr="009F065A">
        <w:rPr>
          <w:rFonts w:ascii="Times New Roman" w:hAnsi="Times New Roman" w:cs="Times New Roman"/>
          <w:sz w:val="28"/>
          <w:szCs w:val="28"/>
        </w:rPr>
        <w:t>1526П</w:t>
      </w:r>
      <w:r w:rsidR="00F11168" w:rsidRPr="009F065A">
        <w:rPr>
          <w:rFonts w:ascii="Times New Roman" w:hAnsi="Times New Roman" w:cs="Times New Roman"/>
          <w:sz w:val="28"/>
          <w:szCs w:val="28"/>
        </w:rPr>
        <w:t>(</w:t>
      </w:r>
      <w:r w:rsidR="0088763B" w:rsidRPr="009F065A">
        <w:rPr>
          <w:rFonts w:ascii="Times New Roman" w:hAnsi="Times New Roman" w:cs="Times New Roman"/>
          <w:sz w:val="28"/>
          <w:szCs w:val="28"/>
        </w:rPr>
        <w:t>R011=1</w:t>
      </w:r>
      <w:r w:rsidR="00F11168" w:rsidRPr="009F065A">
        <w:rPr>
          <w:rFonts w:ascii="Times New Roman" w:hAnsi="Times New Roman" w:cs="Times New Roman"/>
          <w:sz w:val="28"/>
          <w:szCs w:val="28"/>
        </w:rPr>
        <w:t>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1536П, 1546П, 2016П, 2026П, 2036П, 2046П, 2066П, 2076П, 2086П, 2106П, 2116П, 2126П, 2136П, 2146П, 2206П, 2216П, 2226П, 2236П, 2246П, 2306П, 2316П, 2326П, 2336П, 2346П, 2356П, 2366П, 2376П, 2386П, 2396П, 2406П, 2416П, 2426П, 2436П,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2446П, </w:t>
      </w:r>
      <w:r w:rsidRPr="009F065A">
        <w:rPr>
          <w:rFonts w:ascii="Times New Roman" w:hAnsi="Times New Roman" w:cs="Times New Roman"/>
          <w:sz w:val="28"/>
          <w:szCs w:val="28"/>
        </w:rPr>
        <w:t>2456П.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F083=49 – зазначається розмір уцінки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1535П, 1545П, 2307П, 2317П, 2327П, 2337П, 2347П, 2357П, 2367П, 2377П, 2387П, 2397П, 2407П, 2417П, 2427П, 2437П,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2447П, </w:t>
      </w:r>
      <w:r w:rsidRPr="009F065A">
        <w:rPr>
          <w:rFonts w:ascii="Times New Roman" w:hAnsi="Times New Roman" w:cs="Times New Roman"/>
          <w:sz w:val="28"/>
          <w:szCs w:val="28"/>
        </w:rPr>
        <w:t>2457П.</w:t>
      </w:r>
    </w:p>
    <w:p w:rsidR="00B83467" w:rsidRPr="009F065A" w:rsidRDefault="00B83467" w:rsidP="0075028C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аналітичному обліку за складовою </w:t>
      </w:r>
      <w:r w:rsidR="00202EFA" w:rsidRPr="009F065A">
        <w:rPr>
          <w:rFonts w:ascii="Times New Roman" w:hAnsi="Times New Roman" w:cs="Times New Roman"/>
          <w:sz w:val="28"/>
          <w:szCs w:val="28"/>
        </w:rPr>
        <w:t>R013=</w:t>
      </w:r>
      <w:r w:rsidRPr="009F065A">
        <w:rPr>
          <w:rFonts w:ascii="Times New Roman" w:hAnsi="Times New Roman" w:cs="Times New Roman"/>
          <w:sz w:val="28"/>
          <w:szCs w:val="28"/>
        </w:rPr>
        <w:t>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1216АП, 1516АП(R011=2), 1526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П(R011=1,3,4,5,6), 1536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П, 1546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П,</w:t>
      </w:r>
      <w:r w:rsidR="00A314D5" w:rsidRPr="009F065A">
        <w:rPr>
          <w:rFonts w:ascii="Times New Roman" w:hAnsi="Times New Roman" w:cs="Times New Roman"/>
          <w:sz w:val="28"/>
          <w:szCs w:val="28"/>
        </w:rPr>
        <w:t xml:space="preserve"> 2016АП, 2026АП, 2036АП, 2046АП, 2066АП, 2076АП, 2086АП, 2106АП, 2116АП, 2126АП, 2136АП, 2146АП, 2206АП, 2216АП, 2226АП, 2236АП, 2246АП,</w:t>
      </w:r>
      <w:r w:rsidR="0075028C" w:rsidRPr="009F065A">
        <w:rPr>
          <w:rFonts w:ascii="Times New Roman" w:hAnsi="Times New Roman" w:cs="Times New Roman"/>
          <w:sz w:val="28"/>
          <w:szCs w:val="28"/>
        </w:rPr>
        <w:t xml:space="preserve"> </w:t>
      </w:r>
      <w:r w:rsidR="000C11AF">
        <w:rPr>
          <w:rFonts w:ascii="Times New Roman" w:hAnsi="Times New Roman" w:cs="Times New Roman"/>
          <w:sz w:val="28"/>
          <w:szCs w:val="28"/>
        </w:rPr>
        <w:t xml:space="preserve">2266АП, </w:t>
      </w:r>
      <w:r w:rsidR="0075028C" w:rsidRPr="009F065A">
        <w:rPr>
          <w:rFonts w:ascii="Times New Roman" w:hAnsi="Times New Roman" w:cs="Times New Roman"/>
          <w:sz w:val="28"/>
          <w:szCs w:val="28"/>
        </w:rPr>
        <w:t xml:space="preserve">2306АП, 2316АП, 2326АП, 2336АП, 2346АП, 2356АП, 2366АП, 2376АП, 2386АП, 2396АП, 2406АП, 2416АП, 2426АП, 2436АП,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2446АП, </w:t>
      </w:r>
      <w:r w:rsidR="0075028C" w:rsidRPr="009F065A">
        <w:rPr>
          <w:rFonts w:ascii="Times New Roman" w:hAnsi="Times New Roman" w:cs="Times New Roman"/>
          <w:sz w:val="28"/>
          <w:szCs w:val="28"/>
        </w:rPr>
        <w:t>2456АП.</w:t>
      </w:r>
    </w:p>
    <w:p w:rsidR="000A500D" w:rsidRPr="009F065A" w:rsidRDefault="000A500D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коштами на вимогу в інших банках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1200А, 1203А, 1207А,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1500А, 1502А, 1510А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1521А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1600А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1208А,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1508А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1518А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=1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1528А(R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11=2)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1607А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43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</w:t>
      </w:r>
      <w:r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значенням параметра F083=20 – зазначається вартість отриманої застави/забезпечення</w:t>
      </w:r>
      <w:r w:rsidR="00243400"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 14,</w:t>
      </w:r>
      <w:r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2434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Показник зі значенням параметра F083=30 – зазначається розмір кредитного ризику (CR)</w:t>
      </w:r>
      <w:r w:rsidR="00243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1509КА, 1519КА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11=1)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1529КА(R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11=2)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1609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6) Показник зі значенням параметра F083=41 – зазначається розмір очікуваних кредитних збитків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які відображаються на </w:t>
      </w:r>
      <w:r w:rsidRPr="009F065A">
        <w:rPr>
          <w:rFonts w:ascii="Times New Roman" w:hAnsi="Times New Roman" w:cs="Times New Roman"/>
          <w:sz w:val="28"/>
          <w:szCs w:val="28"/>
        </w:rPr>
        <w:lastRenderedPageBreak/>
        <w:t>рахунках дисконтів в аналітичному обліку за складовою R013=2,3,4 параметра R110 за такими балансовими рахунками: 1516П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11=1), 152</w:t>
      </w:r>
      <w:r w:rsidR="00013202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6П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=2)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B83467" w:rsidRPr="009F065A" w:rsidRDefault="00B83467" w:rsidP="00B8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7) 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</w:t>
      </w:r>
      <w:r w:rsidR="00202EFA" w:rsidRPr="009F065A">
        <w:rPr>
          <w:rFonts w:ascii="Times New Roman" w:hAnsi="Times New Roman" w:cs="Times New Roman"/>
          <w:sz w:val="28"/>
          <w:szCs w:val="28"/>
        </w:rPr>
        <w:t>ному обліку за складовою R013=</w:t>
      </w:r>
      <w:r w:rsidRPr="009F065A">
        <w:rPr>
          <w:rFonts w:ascii="Times New Roman" w:hAnsi="Times New Roman" w:cs="Times New Roman"/>
          <w:sz w:val="28"/>
          <w:szCs w:val="28"/>
        </w:rPr>
        <w:t>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1516АП(R011</w:t>
      </w:r>
      <w:r w:rsidR="00A314D5" w:rsidRPr="009F065A">
        <w:rPr>
          <w:rFonts w:ascii="Times New Roman" w:hAnsi="Times New Roman" w:cs="Times New Roman"/>
          <w:sz w:val="28"/>
          <w:szCs w:val="28"/>
        </w:rPr>
        <w:t>=1</w:t>
      </w:r>
      <w:r w:rsidRPr="009F065A">
        <w:rPr>
          <w:rFonts w:ascii="Times New Roman" w:hAnsi="Times New Roman" w:cs="Times New Roman"/>
          <w:sz w:val="28"/>
          <w:szCs w:val="28"/>
        </w:rPr>
        <w:t>), 1526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П(R011=</w:t>
      </w:r>
      <w:r w:rsidR="00A314D5" w:rsidRPr="009F065A">
        <w:rPr>
          <w:rFonts w:ascii="Times New Roman" w:hAnsi="Times New Roman" w:cs="Times New Roman"/>
          <w:sz w:val="28"/>
          <w:szCs w:val="28"/>
        </w:rPr>
        <w:t>2</w:t>
      </w:r>
      <w:r w:rsidRPr="009F065A">
        <w:rPr>
          <w:rFonts w:ascii="Times New Roman" w:hAnsi="Times New Roman" w:cs="Times New Roman"/>
          <w:sz w:val="28"/>
          <w:szCs w:val="28"/>
        </w:rPr>
        <w:t>)</w:t>
      </w:r>
      <w:r w:rsidR="00A314D5" w:rsidRPr="009F065A">
        <w:rPr>
          <w:rFonts w:ascii="Times New Roman" w:hAnsi="Times New Roman" w:cs="Times New Roman"/>
          <w:sz w:val="28"/>
          <w:szCs w:val="28"/>
        </w:rPr>
        <w:t>.</w:t>
      </w:r>
    </w:p>
    <w:p w:rsidR="00F679A0" w:rsidRPr="009F065A" w:rsidRDefault="00F6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679A0" w:rsidRPr="009F065A" w:rsidRDefault="00F6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фінансовою дебіторською заборгованістю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CB3A63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</w:t>
      </w:r>
      <w:r w:rsidR="008E7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боргу, крім нарахованих доходів,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ами: 1811А, 1819А, 1832А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(R011=2,3,4,5,6),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2800А, 2801А, 2805А, 2806А, 2807А, 2809А, 3540А, 3541А, 3542А, 3548А, 3710А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(R011=7,8,9,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3570А, 3578А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Показник зі значенням </w:t>
      </w:r>
      <w:r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 F083=20 – зазначається вартість отриманої застави/забезпечення</w:t>
      </w:r>
      <w:r w:rsidR="008E74D9"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 14,</w:t>
      </w:r>
      <w:r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</w:t>
      </w:r>
      <w:r w:rsidR="00F679A0"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Показник зі значенням параметра F083=30 – зазначається розмір кредитного ризику (CR) </w:t>
      </w:r>
      <w:r w:rsidR="008E7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МСФЗ, що обліковується за такими балансовими рахунками: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1839КА,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2890КА, 3599КА.</w:t>
      </w:r>
    </w:p>
    <w:p w:rsidR="0038738B" w:rsidRPr="009F065A" w:rsidRDefault="0038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004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борговими цінними паперами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1400А, 1401А, 1402А, 1403А, 1404А, 1410А, 1411А, 1412А, 1413А, 1414А, 1420А, 1421А, 1422А, 1423А, 1424А, 3010А,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3011А, 3012А, 3013А, 3014А, 3110А, 3111А, 3112А, 3113А, 3114А, 3210А, 3211А, 3212А, 3213А, 3214А.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1408А, 1418А, 1428А, 3018А, 3118А, 3218А.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3) Показник зі значенням параметра F083=19 – зазначається сума дооцінки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1405А, 1415А, 3015А, 3115А.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</w:t>
      </w:r>
      <w:r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забезпечення</w:t>
      </w:r>
      <w:r w:rsidR="00EB72C5"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 14,</w:t>
      </w:r>
      <w:r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Показник зі значенням параметра F083=30 – зазначається розмір кредитного ризику (CR) </w:t>
      </w:r>
      <w:r w:rsidR="00EB7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1419КА, 1429КА, 3119КА, 3219КА.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Показник зі значенням параметра F083=41 – зазначається розмір очікуваних кредитних збитків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рахунках дисконтів в аналітичному обліку за складовою R013=1,2,3,4 параметра R110 за такими балансовими рахунками: 1406П, 1416П, 1426П, 3016П, 3116П, 3216П.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 Показник зі значенням параметра F083=49 – зазначається розмір уцінки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1405П, 1415П, 3015П, 3115П.</w:t>
      </w:r>
    </w:p>
    <w:p w:rsidR="0075028C" w:rsidRPr="009F065A" w:rsidRDefault="0075028C" w:rsidP="0075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9) 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аналітичному обліку за складовою R013=1,2,3,4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1406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1416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1426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3016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3116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3216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</w:p>
    <w:p w:rsidR="000A500D" w:rsidRPr="009F065A" w:rsidRDefault="0075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CB3A63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До показника не включаються цінні папери, на які зменшується розмір РК згідно з Інструкцією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CB3A63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368.</w:t>
      </w:r>
    </w:p>
    <w:p w:rsidR="000A500D" w:rsidRPr="009F065A" w:rsidRDefault="000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005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наданими фінансовими зобов'язаннями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CB3A63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F083=11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B72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основна</w:t>
      </w:r>
      <w:proofErr w:type="spellEnd"/>
      <w:r w:rsidR="00EB72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EB72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9000А, 9001А, 9002А, 9003А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9100А, 9122А, 9129А.</w:t>
      </w:r>
    </w:p>
    <w:p w:rsidR="000A500D" w:rsidRPr="007A395C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A395C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Показник зі з</w:t>
      </w:r>
      <w:r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наченням параметра F083=20 – зазначається вартість отриманої застави/забезпечення</w:t>
      </w:r>
      <w:r w:rsidR="007A395C"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 14,</w:t>
      </w:r>
      <w:r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7A39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F083=30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7A39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7A39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7A39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F083=40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акредитивами, акцептами,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зобов’язаннями з кредитування, що надані клієнтам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МСФЗ,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3690П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3692П.</w:t>
      </w:r>
    </w:p>
    <w:p w:rsidR="00970228" w:rsidRPr="009F065A" w:rsidRDefault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1279D" w:rsidRPr="009F065A" w:rsidRDefault="00E1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70228" w:rsidRPr="009F065A" w:rsidRDefault="00970228" w:rsidP="00970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наданими іншими зобов'язаннями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70228" w:rsidRPr="009F065A" w:rsidRDefault="00970228" w:rsidP="00970228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F083=11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основна</w:t>
      </w:r>
      <w:proofErr w:type="spellEnd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9200А, 9201А, 9202А, 9203А, 9204А, 9206А, 9207А, 9208А, 9221А, 9224А, 9227А, 9228А, 9300А, 9321А, 9324А, 9327А, 9328А, 9350А, 9351А, 9352А, 9353А, 9354А, 9356А, 9357А, 9358А, 9359А.</w:t>
      </w:r>
    </w:p>
    <w:p w:rsidR="00970228" w:rsidRPr="00B56CF7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56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</w:t>
      </w:r>
      <w:r w:rsidRPr="00B56CF7">
        <w:rPr>
          <w:rFonts w:ascii="Times New Roman" w:hAnsi="Times New Roman" w:cs="Times New Roman"/>
          <w:sz w:val="28"/>
          <w:szCs w:val="28"/>
        </w:rPr>
        <w:t>значенням параметра F083=20 – зазначається вартість отриманої застави/забезпечення</w:t>
      </w:r>
      <w:r w:rsidR="00B56CF7" w:rsidRPr="00B56CF7">
        <w:rPr>
          <w:rFonts w:ascii="Times New Roman" w:hAnsi="Times New Roman" w:cs="Times New Roman"/>
          <w:sz w:val="28"/>
          <w:szCs w:val="28"/>
        </w:rPr>
        <w:t>, що обліковується за позабалансовими рахунками згідно з вимогами Інструкції № 14,</w:t>
      </w:r>
      <w:r w:rsidRPr="00B56CF7">
        <w:rPr>
          <w:rFonts w:ascii="Times New Roman" w:hAnsi="Times New Roman" w:cs="Times New Roman"/>
          <w:sz w:val="28"/>
          <w:szCs w:val="28"/>
        </w:rPr>
        <w:t xml:space="preserve"> за іншими</w:t>
      </w:r>
      <w:r w:rsidRPr="00B56C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зобов’язаннями</w:t>
      </w:r>
      <w:r w:rsidRPr="00B56C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F083=30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1279D" w:rsidRPr="00446B7E" w:rsidRDefault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F083=40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іншими зобов’язаннями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МСФЗ.</w:t>
      </w:r>
    </w:p>
    <w:sectPr w:rsidR="00E1279D" w:rsidRPr="00446B7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E4839EFF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AC88F"/>
    <w:multiLevelType w:val="singleLevel"/>
    <w:tmpl w:val="DBFAC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6EA2AF0"/>
    <w:multiLevelType w:val="singleLevel"/>
    <w:tmpl w:val="76EA2AF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EF56762"/>
    <w:rsid w:val="9EFF3AD5"/>
    <w:rsid w:val="AFBB8C86"/>
    <w:rsid w:val="B7FE2B8C"/>
    <w:rsid w:val="BBFFDEFB"/>
    <w:rsid w:val="BDBD4635"/>
    <w:rsid w:val="BFB6BDA5"/>
    <w:rsid w:val="CFFE851E"/>
    <w:rsid w:val="DFC26895"/>
    <w:rsid w:val="EADFA0B8"/>
    <w:rsid w:val="EBBF4801"/>
    <w:rsid w:val="ED6A28F5"/>
    <w:rsid w:val="EFFDE9F9"/>
    <w:rsid w:val="F77FB411"/>
    <w:rsid w:val="FAEFEF99"/>
    <w:rsid w:val="FB55AD19"/>
    <w:rsid w:val="FDBDFA21"/>
    <w:rsid w:val="FE2FEA78"/>
    <w:rsid w:val="FFB7EB55"/>
    <w:rsid w:val="FFE376F8"/>
    <w:rsid w:val="FFEF7615"/>
    <w:rsid w:val="FFF61569"/>
    <w:rsid w:val="00013202"/>
    <w:rsid w:val="000179D5"/>
    <w:rsid w:val="000200B4"/>
    <w:rsid w:val="000600D1"/>
    <w:rsid w:val="00073628"/>
    <w:rsid w:val="000A500D"/>
    <w:rsid w:val="000C11AF"/>
    <w:rsid w:val="00123CC4"/>
    <w:rsid w:val="00172A27"/>
    <w:rsid w:val="00186E2F"/>
    <w:rsid w:val="001912E7"/>
    <w:rsid w:val="001B57C8"/>
    <w:rsid w:val="00202EFA"/>
    <w:rsid w:val="00212A33"/>
    <w:rsid w:val="00226660"/>
    <w:rsid w:val="00227422"/>
    <w:rsid w:val="00243400"/>
    <w:rsid w:val="002610CF"/>
    <w:rsid w:val="00292DF9"/>
    <w:rsid w:val="002A1CD9"/>
    <w:rsid w:val="002B56C0"/>
    <w:rsid w:val="002D2254"/>
    <w:rsid w:val="002E6498"/>
    <w:rsid w:val="003033DF"/>
    <w:rsid w:val="00307A99"/>
    <w:rsid w:val="003436DF"/>
    <w:rsid w:val="0038738B"/>
    <w:rsid w:val="003A450D"/>
    <w:rsid w:val="00402C49"/>
    <w:rsid w:val="00423D9A"/>
    <w:rsid w:val="004313C2"/>
    <w:rsid w:val="00446B7E"/>
    <w:rsid w:val="004477AC"/>
    <w:rsid w:val="004A18B9"/>
    <w:rsid w:val="005F2751"/>
    <w:rsid w:val="006E0BB8"/>
    <w:rsid w:val="007075DA"/>
    <w:rsid w:val="0075028C"/>
    <w:rsid w:val="007A395C"/>
    <w:rsid w:val="007E3C8A"/>
    <w:rsid w:val="00833BFC"/>
    <w:rsid w:val="0085058F"/>
    <w:rsid w:val="008625A0"/>
    <w:rsid w:val="008720AE"/>
    <w:rsid w:val="0088763B"/>
    <w:rsid w:val="008E1A74"/>
    <w:rsid w:val="008E74D9"/>
    <w:rsid w:val="00917D94"/>
    <w:rsid w:val="00970228"/>
    <w:rsid w:val="009B42A9"/>
    <w:rsid w:val="009F065A"/>
    <w:rsid w:val="00A314D5"/>
    <w:rsid w:val="00A865DA"/>
    <w:rsid w:val="00A91A2B"/>
    <w:rsid w:val="00AB2D9E"/>
    <w:rsid w:val="00AE2FA0"/>
    <w:rsid w:val="00B534BE"/>
    <w:rsid w:val="00B56CF7"/>
    <w:rsid w:val="00B83467"/>
    <w:rsid w:val="00BC72EE"/>
    <w:rsid w:val="00C41078"/>
    <w:rsid w:val="00CB3A63"/>
    <w:rsid w:val="00D408EC"/>
    <w:rsid w:val="00DD027A"/>
    <w:rsid w:val="00DE21B8"/>
    <w:rsid w:val="00E1279D"/>
    <w:rsid w:val="00E3209C"/>
    <w:rsid w:val="00EB1384"/>
    <w:rsid w:val="00EB72C5"/>
    <w:rsid w:val="00EC579B"/>
    <w:rsid w:val="00F11168"/>
    <w:rsid w:val="00F575FE"/>
    <w:rsid w:val="00F679A0"/>
    <w:rsid w:val="00F773F5"/>
    <w:rsid w:val="00FD258E"/>
    <w:rsid w:val="00FE70BF"/>
    <w:rsid w:val="1BF3A4EE"/>
    <w:rsid w:val="1D1B5318"/>
    <w:rsid w:val="34FA0C32"/>
    <w:rsid w:val="3EF58053"/>
    <w:rsid w:val="469F39CE"/>
    <w:rsid w:val="4AF70701"/>
    <w:rsid w:val="4C3F63E0"/>
    <w:rsid w:val="4E9D7C49"/>
    <w:rsid w:val="5FE52266"/>
    <w:rsid w:val="65AE4CFE"/>
    <w:rsid w:val="6BFF698E"/>
    <w:rsid w:val="6E3948DF"/>
    <w:rsid w:val="6ECBFED8"/>
    <w:rsid w:val="6F6DA728"/>
    <w:rsid w:val="6FFDF793"/>
    <w:rsid w:val="72A997B5"/>
    <w:rsid w:val="75FF61BB"/>
    <w:rsid w:val="77778E70"/>
    <w:rsid w:val="777DE7C8"/>
    <w:rsid w:val="7B83A453"/>
    <w:rsid w:val="7BFD6820"/>
    <w:rsid w:val="7C7208FE"/>
    <w:rsid w:val="7CEF0057"/>
    <w:rsid w:val="7EFF4BDD"/>
    <w:rsid w:val="7FBD9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E5C6-35DC-4E4D-A2B2-3B6B75F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"/>
    <w:basedOn w:val="a4"/>
    <w:rPr>
      <w:rFonts w:cs="FreeSans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b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226660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Текст примітки Знак"/>
    <w:basedOn w:val="a0"/>
    <w:link w:val="a6"/>
    <w:uiPriority w:val="99"/>
    <w:semiHidden/>
    <w:rsid w:val="00226660"/>
    <w:rPr>
      <w:rFonts w:ascii="Times New Roman" w:eastAsia="Times New Roman" w:hAnsi="Times New Roman" w:cs="Times New Roman"/>
      <w:lang w:val="uk-UA" w:eastAsia="en-US"/>
    </w:rPr>
  </w:style>
  <w:style w:type="character" w:customStyle="1" w:styleId="af1">
    <w:name w:val="Тема примітки Знак"/>
    <w:basedOn w:val="a7"/>
    <w:link w:val="af0"/>
    <w:uiPriority w:val="99"/>
    <w:semiHidden/>
    <w:rsid w:val="00226660"/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af2">
    <w:name w:val="Revision"/>
    <w:hidden/>
    <w:uiPriority w:val="99"/>
    <w:semiHidden/>
    <w:rsid w:val="00226660"/>
    <w:pPr>
      <w:spacing w:after="0" w:line="240" w:lineRule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11367</Words>
  <Characters>6480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Коваленко Сергій Миколайович</cp:lastModifiedBy>
  <cp:revision>2</cp:revision>
  <cp:lastPrinted>2018-01-06T20:06:00Z</cp:lastPrinted>
  <dcterms:created xsi:type="dcterms:W3CDTF">2024-04-26T11:36:00Z</dcterms:created>
  <dcterms:modified xsi:type="dcterms:W3CDTF">2024-04-26T11:36:00Z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