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bookmarkStart w:id="0" w:name="_GoBack"/>
      <w:bookmarkEnd w:id="0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Правила та особливості формування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показників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1,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2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3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J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00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, A7J005,</w:t>
      </w:r>
      <w:r w:rsidR="005B69C2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A7J006, A7J007, A7J008, A7J009, A7J0010, A7J0011,</w:t>
      </w: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що подаються у звітному файлі 7JX “Дані про стягнуте майно”.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Показники </w:t>
      </w:r>
      <w:proofErr w:type="spellStart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файла</w:t>
      </w:r>
      <w:proofErr w:type="spellEnd"/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7JX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та з урахуванням шаблонів таблиць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uk-UA"/>
        </w:rPr>
        <w:t>FIN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REP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стягнутого майна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C74A16" w:rsidRPr="001F4D50" w:rsidRDefault="00996DE7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У файлі статистичної звітності 7JX “Дані про стягнуте майно” зазначається інформація щодо стягнутого майна, яке отримано банком у власність, планова зміна обсягу стягнутого майна за квартал та планова зміна обсягу стягнутого майна за поточний рік.</w:t>
      </w:r>
      <w:r w:rsidR="00C74A16"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Зміна обсягу стягнутого майна визначається як різниця залишків на рахунках банків відповідно до нормативно-правових документів Національного банку України з бухгалтерського обліку на звітні дати. </w:t>
      </w:r>
    </w:p>
    <w:p w:rsidR="006F3D53" w:rsidRPr="001F4D50" w:rsidRDefault="00C74A16" w:rsidP="00C74A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Термін “стягнуте майно” застосовується у значенні, встановленому у пункті 4 Положення про організацію процесу управління проблемними активами в банках України.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Опис параметрів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показників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 xml:space="preserve"> A7J001, A7J002, A7J003, A7J004, A7J005, A7J006, A7J007, A7J008, A7J009, A7J0010, A7J0011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F136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майна, отриманого у власність в результаті стягнення (довідник F136).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F138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− код фактору щодо зміни обсягу стягнутого майна (довідник F138).</w:t>
      </w:r>
    </w:p>
    <w:p w:rsidR="006F3D53" w:rsidRPr="001F4D50" w:rsidRDefault="006F3D53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Параметр S330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– код строку перебування стягнутого майна у власності (довідник S330).</w:t>
      </w:r>
    </w:p>
    <w:p w:rsidR="006F3D53" w:rsidRPr="001F4D50" w:rsidRDefault="006F3D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C74A16" w:rsidRPr="001F4D50" w:rsidRDefault="00C74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7J002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3408,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3408,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7J003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тягнуте майно,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7J004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майно, яке утримується для продажу та обліковується за балансовим рахунком 3409,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стягнутого майна, яке утримується для продажу та обліковується за балансовим рахунком 3409, за яким не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7J005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Майно, яке перейшло у власність банку внаслідок звернення стягнення та використовується банком у поточній діяльності (необоротні активи), за яким змінено призначення внаслідок </w:t>
      </w:r>
      <w:proofErr w:type="spellStart"/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282EA4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зазначається вартість майна, яке перейшло у власність банку внаслідок звернення стягнення та використовується банком у поточній діяльності (необоротні активи), за яким змінено призначення внаслідок </w:t>
      </w:r>
      <w:proofErr w:type="spellStart"/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lastRenderedPageBreak/>
        <w:t>рекласифікації</w:t>
      </w:r>
      <w:proofErr w:type="spellEnd"/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4300А, 4309КА, 4400А, 4409КА.</w:t>
      </w:r>
    </w:p>
    <w:p w:rsidR="00282EA4" w:rsidRPr="001F4D50" w:rsidRDefault="0028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7J006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D11C58" w:rsidRPr="00D11C58">
        <w:t xml:space="preserve"> </w:t>
      </w:r>
      <w:r w:rsidR="00D11C58" w:rsidRPr="00D11C5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Майно, яке перейшло у власність банку внаслідок звернення стягнення та використовується банком у поточній діяльності (необоротні активи), за яким не змінено призначення після первісного визнання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="00D11C58" w:rsidRPr="00D11C58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 вартість майна, яке перейшло у власність банку внаслідок звернення стягнення та використовується банком у поточній діяльності (необоротні активи), за яким не змінено призначення після первісного визнання, що обліковується за такими балансовими рахунками: 4300А, 4309КА, 4400А, 4409КА</w:t>
      </w:r>
    </w:p>
    <w:p w:rsidR="00A655F8" w:rsidRPr="001F4D50" w:rsidRDefault="00A65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7J007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змінено призначення внаслідок </w:t>
      </w:r>
      <w:proofErr w:type="spellStart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рекласифікації</w:t>
      </w:r>
      <w:proofErr w:type="spellEnd"/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після первісного визнання, що обліковується за такими балансовими рахунками: 4410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А, 4419А.</w:t>
      </w:r>
    </w:p>
    <w:p w:rsidR="006F3D53" w:rsidRPr="001F4D50" w:rsidRDefault="006F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FC1ED9" w:rsidRPr="001F4D50" w:rsidRDefault="00FC1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7J008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="008A003A"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тягнуте майно</w:t>
      </w:r>
      <w:r w:rsidR="00235C2E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класифіковане як інвестиційна нерухомість, за яким не змінено призначення після первісного визнання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стягнутого майна</w:t>
      </w:r>
      <w:r w:rsidR="00235C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,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 класифікованого як інвестиційна нерухомість, за яким не змінено призначення після первісного визнання, що обліковується за такими балансовими рахунками: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4410А, 4419А.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7J009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Інше стягнуте майно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”.</w:t>
      </w:r>
    </w:p>
    <w:p w:rsidR="006F3D53" w:rsidRPr="001F4D50" w:rsidRDefault="006F3D53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–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зазначається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 </w:t>
      </w:r>
      <w:r w:rsidR="00A655F8"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вартість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 xml:space="preserve">іншого стягнутого майна, яке не було відображено за показниками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7J001-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7J008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7J0010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поточний рік”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за поточний рік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6F3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</w:p>
    <w:p w:rsidR="006F3D53" w:rsidRPr="001F4D50" w:rsidRDefault="00996D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en-US" w:eastAsia="uk-UA"/>
        </w:rPr>
        <w:t>A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7J0011 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uk-UA"/>
        </w:rPr>
        <w:t>“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Планова зміна обсягу стягнутого майна за квартал”</w:t>
      </w: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.</w:t>
      </w:r>
    </w:p>
    <w:p w:rsidR="006F3D53" w:rsidRPr="001F4D50" w:rsidRDefault="006F3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</w:p>
    <w:p w:rsidR="006F3D53" w:rsidRDefault="00996DE7">
      <w:pPr>
        <w:spacing w:after="0" w:line="240" w:lineRule="auto"/>
        <w:jc w:val="both"/>
        <w:rPr>
          <w:color w:val="auto"/>
        </w:rPr>
      </w:pPr>
      <w:r w:rsidRPr="001F4D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 xml:space="preserve">Показник з метрикою T070 − </w:t>
      </w:r>
      <w:r w:rsidRPr="001F4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uk-UA"/>
        </w:rPr>
        <w:t>зазначається планова зміна обсягу стягнутого майна на наступний квартал</w:t>
      </w:r>
      <w:r w:rsidRPr="001F4D50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.</w:t>
      </w:r>
    </w:p>
    <w:sectPr w:rsidR="006F3D53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297A"/>
    <w:multiLevelType w:val="multilevel"/>
    <w:tmpl w:val="574E297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1"/>
    <w:rsid w:val="DB7D2899"/>
    <w:rsid w:val="FAC74647"/>
    <w:rsid w:val="FCFB1E8F"/>
    <w:rsid w:val="00084756"/>
    <w:rsid w:val="000A5AA5"/>
    <w:rsid w:val="0016711B"/>
    <w:rsid w:val="00194041"/>
    <w:rsid w:val="001F4D50"/>
    <w:rsid w:val="002106E8"/>
    <w:rsid w:val="00235C2E"/>
    <w:rsid w:val="00282EA4"/>
    <w:rsid w:val="003E0B19"/>
    <w:rsid w:val="005B69C2"/>
    <w:rsid w:val="005F5113"/>
    <w:rsid w:val="006F3D53"/>
    <w:rsid w:val="007615B1"/>
    <w:rsid w:val="008A003A"/>
    <w:rsid w:val="008F493F"/>
    <w:rsid w:val="009446AB"/>
    <w:rsid w:val="00996DE7"/>
    <w:rsid w:val="00A655F8"/>
    <w:rsid w:val="00AB1911"/>
    <w:rsid w:val="00C74A16"/>
    <w:rsid w:val="00CA72A9"/>
    <w:rsid w:val="00CD341F"/>
    <w:rsid w:val="00D11C58"/>
    <w:rsid w:val="00EB35DA"/>
    <w:rsid w:val="00F60B0F"/>
    <w:rsid w:val="00FC1ED9"/>
    <w:rsid w:val="55F42886"/>
    <w:rsid w:val="5DFC89A7"/>
    <w:rsid w:val="6F3F4872"/>
    <w:rsid w:val="7FB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2C3F-D09B-4BB4-8FAE-80A4844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qFormat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3917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Коваленко Сергій Миколайович</cp:lastModifiedBy>
  <cp:revision>2</cp:revision>
  <cp:lastPrinted>2018-01-06T08:06:00Z</cp:lastPrinted>
  <dcterms:created xsi:type="dcterms:W3CDTF">2024-04-24T13:33:00Z</dcterms:created>
  <dcterms:modified xsi:type="dcterms:W3CDTF">2024-04-24T13:33:00Z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